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2" w:rsidRPr="007C69C2" w:rsidRDefault="007C69C2" w:rsidP="0094185F">
      <w:pPr>
        <w:jc w:val="both"/>
        <w:rPr>
          <w:rFonts w:ascii="Arial" w:hAnsi="Arial" w:cs="Arial"/>
          <w:sz w:val="24"/>
          <w:szCs w:val="24"/>
        </w:rPr>
      </w:pPr>
      <w:r w:rsidRPr="007C69C2">
        <w:rPr>
          <w:rFonts w:ascii="Arial" w:hAnsi="Arial" w:cs="Arial"/>
          <w:sz w:val="24"/>
          <w:szCs w:val="24"/>
        </w:rPr>
        <w:t>AG-252/PBN/1/23</w:t>
      </w:r>
    </w:p>
    <w:p w:rsidR="007C69C2" w:rsidRPr="007C69C2" w:rsidRDefault="007C69C2" w:rsidP="0094185F">
      <w:pPr>
        <w:jc w:val="both"/>
        <w:rPr>
          <w:rFonts w:ascii="Arial" w:hAnsi="Arial" w:cs="Arial"/>
          <w:sz w:val="24"/>
          <w:szCs w:val="24"/>
        </w:rPr>
      </w:pPr>
    </w:p>
    <w:p w:rsidR="007C69C2" w:rsidRPr="007C69C2" w:rsidRDefault="007C69C2" w:rsidP="0094185F">
      <w:pPr>
        <w:jc w:val="center"/>
        <w:rPr>
          <w:rFonts w:ascii="Arial" w:hAnsi="Arial" w:cs="Arial"/>
          <w:b/>
          <w:sz w:val="24"/>
          <w:szCs w:val="24"/>
        </w:rPr>
      </w:pPr>
      <w:r w:rsidRPr="007C69C2">
        <w:rPr>
          <w:rFonts w:ascii="Arial" w:hAnsi="Arial" w:cs="Arial"/>
          <w:b/>
          <w:sz w:val="24"/>
          <w:szCs w:val="24"/>
        </w:rPr>
        <w:t>INFORMACJA DLA WYKONAWCÓW</w:t>
      </w:r>
    </w:p>
    <w:p w:rsidR="007C69C2" w:rsidRPr="007C69C2" w:rsidRDefault="007C69C2" w:rsidP="0094185F">
      <w:pPr>
        <w:jc w:val="both"/>
        <w:rPr>
          <w:rFonts w:ascii="Arial" w:hAnsi="Arial" w:cs="Arial"/>
          <w:b/>
          <w:sz w:val="24"/>
          <w:szCs w:val="24"/>
        </w:rPr>
      </w:pPr>
    </w:p>
    <w:p w:rsidR="007C69C2" w:rsidRDefault="007C69C2" w:rsidP="009418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69C2">
        <w:rPr>
          <w:rFonts w:ascii="Arial" w:hAnsi="Arial" w:cs="Arial"/>
          <w:sz w:val="24"/>
          <w:szCs w:val="24"/>
        </w:rPr>
        <w:t>Zamawiający informuje, że w SWZ podano błędny link do postępowania na</w:t>
      </w:r>
      <w:r w:rsidR="0094185F">
        <w:rPr>
          <w:rFonts w:ascii="Arial" w:hAnsi="Arial" w:cs="Arial"/>
          <w:sz w:val="24"/>
          <w:szCs w:val="24"/>
        </w:rPr>
        <w:t xml:space="preserve"> portalu e</w:t>
      </w:r>
      <w:r w:rsidRPr="007C69C2">
        <w:rPr>
          <w:rFonts w:ascii="Arial" w:hAnsi="Arial" w:cs="Arial"/>
          <w:sz w:val="24"/>
          <w:szCs w:val="24"/>
        </w:rPr>
        <w:t>-Zamówienia</w:t>
      </w:r>
      <w:r w:rsidR="0094185F">
        <w:rPr>
          <w:rFonts w:ascii="Arial" w:hAnsi="Arial" w:cs="Arial"/>
          <w:sz w:val="24"/>
          <w:szCs w:val="24"/>
        </w:rPr>
        <w:t>, poprawny link, pod którym znajdują się dokumenty postępowania to:</w:t>
      </w:r>
    </w:p>
    <w:p w:rsidR="0094185F" w:rsidRDefault="0094185F" w:rsidP="0094185F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0E792E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https://ezamowienia.gov.pl/mp-client/search/list/ocds-148610-6fdfad21-9bbc-11ed-94da-6ae0fe5e7159</w:t>
        </w:r>
      </w:hyperlink>
    </w:p>
    <w:p w:rsidR="0094185F" w:rsidRDefault="0094185F" w:rsidP="0094185F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1"/>
    <w:rsid w:val="00362232"/>
    <w:rsid w:val="006575C1"/>
    <w:rsid w:val="007C69C2"/>
    <w:rsid w:val="0094185F"/>
    <w:rsid w:val="009D3508"/>
    <w:rsid w:val="00C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6fdfad21-9bbc-11ed-94da-6ae0fe5e7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2</cp:revision>
  <dcterms:created xsi:type="dcterms:W3CDTF">2023-01-24T12:30:00Z</dcterms:created>
  <dcterms:modified xsi:type="dcterms:W3CDTF">2023-01-24T12:39:00Z</dcterms:modified>
</cp:coreProperties>
</file>